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B2" w:rsidRPr="00B54D06" w:rsidRDefault="00C33EB2" w:rsidP="00C33EB2">
      <w:pPr>
        <w:spacing w:line="288" w:lineRule="auto"/>
        <w:ind w:firstLine="714"/>
        <w:jc w:val="both"/>
        <w:rPr>
          <w:rFonts w:ascii="Palatino Linotype" w:hAnsi="Palatino Linotype"/>
          <w:b/>
          <w:i/>
          <w:sz w:val="22"/>
        </w:rPr>
      </w:pPr>
      <w:r w:rsidRPr="00B54D06">
        <w:rPr>
          <w:rFonts w:ascii="Palatino Linotype" w:hAnsi="Palatino Linotype"/>
          <w:b/>
          <w:i/>
          <w:sz w:val="22"/>
        </w:rPr>
        <w:t>Tematică:</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Corpul funcţionarilor publici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Principiile care stau la baza exercitării funcţiei publice</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Clasificarea funcţiilor publice.  Categorii de funcţionari publici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Clasificarea funcţiilor publice  în funcţie de nivelul studiilor necesare</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Drepturile funcţionarilor public</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Îndatoririle funcţionarilor publici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Formarea şi perfecţionarea profesională a funcţionarilor publici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Sancţiunile disciplinare şi răspunderea  funcţionarilor publici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Drepturile în exercitarea cărora este garantat principiul egalităţii între cetăţeni, al excluderii privilegiilor şi discriminării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Egalitatea de şanse şi de tratament între femei şi bărbaţi în domeniul muncii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Autorizarea executării lucrărilor de construcţii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Documentele autorizării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Avize şi acorduri necesare în procedura de autorizare</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Conţinutul şi elaborarea documentaţiilor tehnice necesare în procedura de autorizare</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Procedura de autorizare</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Obligaţii ale investitorului/beneficiarului şi emitentului autorizaţiei, ulterioare autorizării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Răspunderi şi sancţiuni in material executării lucrărilor de construcţii</w:t>
      </w:r>
    </w:p>
    <w:p w:rsidR="00C33EB2" w:rsidRPr="00B54D06" w:rsidRDefault="00C33EB2" w:rsidP="00C33EB2">
      <w:pPr>
        <w:pStyle w:val="ListParagraph"/>
        <w:numPr>
          <w:ilvl w:val="0"/>
          <w:numId w:val="1"/>
        </w:numPr>
        <w:spacing w:line="288" w:lineRule="auto"/>
        <w:ind w:left="714" w:hanging="357"/>
        <w:rPr>
          <w:rFonts w:ascii="Palatino Linotype" w:hAnsi="Palatino Linotype"/>
          <w:color w:val="000000" w:themeColor="text1"/>
          <w:sz w:val="22"/>
        </w:rPr>
      </w:pPr>
      <w:r w:rsidRPr="00B54D06">
        <w:rPr>
          <w:rFonts w:ascii="Palatino Linotype" w:hAnsi="Palatino Linotype"/>
          <w:color w:val="000000" w:themeColor="text1"/>
          <w:sz w:val="22"/>
        </w:rPr>
        <w:t>Sistemul calităţii în construcţii</w:t>
      </w:r>
    </w:p>
    <w:p w:rsidR="00C33EB2" w:rsidRPr="00B54D06" w:rsidRDefault="00C33EB2" w:rsidP="00C33EB2">
      <w:pPr>
        <w:pStyle w:val="ListParagraph"/>
        <w:numPr>
          <w:ilvl w:val="0"/>
          <w:numId w:val="1"/>
        </w:numPr>
        <w:spacing w:line="288" w:lineRule="auto"/>
        <w:ind w:left="714" w:hanging="357"/>
        <w:jc w:val="both"/>
        <w:rPr>
          <w:rFonts w:ascii="Palatino Linotype" w:hAnsi="Palatino Linotype"/>
          <w:color w:val="000000" w:themeColor="text1"/>
          <w:sz w:val="22"/>
        </w:rPr>
      </w:pPr>
      <w:r w:rsidRPr="00B54D06">
        <w:rPr>
          <w:rFonts w:ascii="Palatino Linotype" w:hAnsi="Palatino Linotype"/>
          <w:color w:val="000000" w:themeColor="text1"/>
          <w:sz w:val="22"/>
        </w:rPr>
        <w:t>Obligaţii şi răspunderi ale investitorilor, ale operatorilor serviciilor de utilităţi publice, ale consultanţilor, ale proiectanţilor, ale executanţilor, ale specialiştilor verificatori de proiecte, ale responsabililor tehnici cu execuţia şi ale experţilor tehnici, atestaţi, ale proprietarilor construcţiilor, ale administratorilor şi ale utilizatorilor construcţiilor,</w:t>
      </w:r>
    </w:p>
    <w:p w:rsidR="00C33EB2" w:rsidRPr="00B54D06" w:rsidRDefault="00C33EB2" w:rsidP="00C33EB2">
      <w:pPr>
        <w:pStyle w:val="ListParagraph"/>
        <w:numPr>
          <w:ilvl w:val="0"/>
          <w:numId w:val="1"/>
        </w:numPr>
        <w:spacing w:line="288" w:lineRule="auto"/>
        <w:ind w:left="714" w:hanging="357"/>
        <w:jc w:val="both"/>
        <w:rPr>
          <w:rFonts w:ascii="Palatino Linotype" w:hAnsi="Palatino Linotype"/>
          <w:color w:val="000000" w:themeColor="text1"/>
          <w:sz w:val="22"/>
        </w:rPr>
      </w:pPr>
      <w:r w:rsidRPr="00B54D06">
        <w:rPr>
          <w:rFonts w:ascii="Palatino Linotype" w:hAnsi="Palatino Linotype"/>
          <w:color w:val="000000" w:themeColor="text1"/>
          <w:sz w:val="22"/>
        </w:rPr>
        <w:t>Activităţile de amenajare a teritoriului şi de urbanism</w:t>
      </w:r>
    </w:p>
    <w:p w:rsidR="00C33EB2" w:rsidRPr="00B54D06" w:rsidRDefault="00C33EB2" w:rsidP="00C33EB2">
      <w:pPr>
        <w:pStyle w:val="ListParagraph"/>
        <w:numPr>
          <w:ilvl w:val="0"/>
          <w:numId w:val="1"/>
        </w:numPr>
        <w:spacing w:line="288" w:lineRule="auto"/>
        <w:ind w:left="714" w:hanging="357"/>
        <w:jc w:val="both"/>
        <w:rPr>
          <w:rFonts w:ascii="Palatino Linotype" w:hAnsi="Palatino Linotype"/>
          <w:color w:val="000000" w:themeColor="text1"/>
          <w:sz w:val="22"/>
        </w:rPr>
      </w:pPr>
      <w:r w:rsidRPr="00B54D06">
        <w:rPr>
          <w:rFonts w:ascii="Palatino Linotype" w:hAnsi="Palatino Linotype"/>
          <w:color w:val="000000" w:themeColor="text1"/>
          <w:sz w:val="22"/>
        </w:rPr>
        <w:t>Atribuţiile autorităţilor administraţiei publice judeţene în domeniul amenajării teritoriului</w:t>
      </w:r>
    </w:p>
    <w:p w:rsidR="00C33EB2" w:rsidRPr="00B54D06" w:rsidRDefault="00C33EB2" w:rsidP="00C33EB2">
      <w:pPr>
        <w:pStyle w:val="ListParagraph"/>
        <w:numPr>
          <w:ilvl w:val="0"/>
          <w:numId w:val="1"/>
        </w:numPr>
        <w:spacing w:line="288" w:lineRule="auto"/>
        <w:ind w:left="714" w:hanging="357"/>
        <w:jc w:val="both"/>
        <w:rPr>
          <w:rFonts w:ascii="Palatino Linotype" w:hAnsi="Palatino Linotype"/>
          <w:color w:val="000000" w:themeColor="text1"/>
          <w:sz w:val="22"/>
        </w:rPr>
      </w:pPr>
      <w:r w:rsidRPr="00B54D06">
        <w:rPr>
          <w:rFonts w:ascii="Palatino Linotype" w:hAnsi="Palatino Linotype"/>
          <w:color w:val="000000" w:themeColor="text1"/>
          <w:sz w:val="22"/>
        </w:rPr>
        <w:t>Structura instituţională în activitatea de amenajare a teritoriului şi de urbanism</w:t>
      </w:r>
    </w:p>
    <w:p w:rsidR="00C33EB2" w:rsidRPr="00B54D06" w:rsidRDefault="00C33EB2" w:rsidP="00C33EB2">
      <w:pPr>
        <w:pStyle w:val="ListParagraph"/>
        <w:numPr>
          <w:ilvl w:val="0"/>
          <w:numId w:val="1"/>
        </w:numPr>
        <w:spacing w:line="288" w:lineRule="auto"/>
        <w:ind w:left="714" w:hanging="357"/>
        <w:jc w:val="both"/>
        <w:rPr>
          <w:rFonts w:ascii="Palatino Linotype" w:hAnsi="Palatino Linotype"/>
          <w:color w:val="000000" w:themeColor="text1"/>
          <w:sz w:val="22"/>
        </w:rPr>
      </w:pPr>
      <w:r w:rsidRPr="00B54D06">
        <w:rPr>
          <w:rFonts w:ascii="Palatino Linotype" w:hAnsi="Palatino Linotype"/>
          <w:color w:val="000000" w:themeColor="text1"/>
          <w:sz w:val="22"/>
        </w:rPr>
        <w:t>Documentaţii de amenajare a teritoriului şi de urbanism</w:t>
      </w:r>
    </w:p>
    <w:p w:rsidR="00C33EB2" w:rsidRPr="00B54D06" w:rsidRDefault="00C33EB2" w:rsidP="00C33EB2">
      <w:pPr>
        <w:pStyle w:val="ListParagraph"/>
        <w:numPr>
          <w:ilvl w:val="0"/>
          <w:numId w:val="1"/>
        </w:numPr>
        <w:spacing w:line="288" w:lineRule="auto"/>
        <w:ind w:left="714" w:hanging="357"/>
        <w:jc w:val="both"/>
        <w:rPr>
          <w:rFonts w:ascii="Palatino Linotype" w:hAnsi="Palatino Linotype"/>
          <w:color w:val="000000" w:themeColor="text1"/>
          <w:sz w:val="22"/>
        </w:rPr>
      </w:pPr>
      <w:r w:rsidRPr="00B54D06">
        <w:rPr>
          <w:rFonts w:ascii="Palatino Linotype" w:hAnsi="Palatino Linotype"/>
          <w:color w:val="000000" w:themeColor="text1"/>
          <w:sz w:val="22"/>
        </w:rPr>
        <w:t>Reguli de baza privind modul de ocupare a terenurilor</w:t>
      </w:r>
    </w:p>
    <w:p w:rsidR="00C33EB2" w:rsidRPr="00B54D06" w:rsidRDefault="00C33EB2" w:rsidP="00C33EB2">
      <w:pPr>
        <w:pStyle w:val="ListParagraph"/>
        <w:numPr>
          <w:ilvl w:val="0"/>
          <w:numId w:val="1"/>
        </w:numPr>
        <w:spacing w:line="288" w:lineRule="auto"/>
        <w:ind w:left="714" w:hanging="357"/>
        <w:jc w:val="both"/>
        <w:rPr>
          <w:rFonts w:ascii="Palatino Linotype" w:hAnsi="Palatino Linotype"/>
          <w:color w:val="000000" w:themeColor="text1"/>
          <w:sz w:val="22"/>
        </w:rPr>
      </w:pPr>
      <w:r w:rsidRPr="00B54D06">
        <w:rPr>
          <w:rFonts w:ascii="Palatino Linotype" w:hAnsi="Palatino Linotype"/>
          <w:color w:val="000000" w:themeColor="text1"/>
          <w:sz w:val="22"/>
        </w:rPr>
        <w:t>Condiţii de amplasare şi conformare a construcţiilor</w:t>
      </w:r>
      <w:r>
        <w:rPr>
          <w:rFonts w:ascii="Palatino Linotype" w:hAnsi="Palatino Linotype"/>
          <w:color w:val="000000" w:themeColor="text1"/>
          <w:sz w:val="22"/>
        </w:rPr>
        <w:t>.</w:t>
      </w:r>
    </w:p>
    <w:p w:rsidR="00C33EB2" w:rsidRPr="00B54D06" w:rsidRDefault="00C33EB2" w:rsidP="00C33EB2">
      <w:pPr>
        <w:spacing w:line="288" w:lineRule="auto"/>
        <w:jc w:val="both"/>
        <w:rPr>
          <w:rFonts w:ascii="Palatino Linotype" w:hAnsi="Palatino Linotype"/>
          <w:color w:val="FF0000"/>
          <w:sz w:val="22"/>
        </w:rPr>
      </w:pPr>
    </w:p>
    <w:p w:rsidR="00C33EB2" w:rsidRDefault="00C33EB2" w:rsidP="00C33EB2"/>
    <w:p w:rsidR="00173332" w:rsidRDefault="00173332"/>
    <w:sectPr w:rsidR="00173332" w:rsidSect="00D635BB">
      <w:headerReference w:type="default" r:id="rId5"/>
      <w:footerReference w:type="default" r:id="rId6"/>
      <w:headerReference w:type="first" r:id="rId7"/>
      <w:footerReference w:type="first" r:id="rId8"/>
      <w:pgSz w:w="11905" w:h="16837" w:code="9"/>
      <w:pgMar w:top="2552" w:right="851" w:bottom="737" w:left="1418" w:header="720" w:footer="851"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E0" w:rsidRDefault="00C33EB2" w:rsidP="00BD1CE5">
    <w:pPr>
      <w:pStyle w:val="Footer"/>
      <w:tabs>
        <w:tab w:val="clear" w:pos="9360"/>
        <w:tab w:val="left" w:pos="1134"/>
      </w:tabs>
    </w:pPr>
    <w:r>
      <w:rPr>
        <w:noProof/>
        <w:lang w:val="en-US"/>
      </w:rPr>
      <w:pict>
        <v:group id="_x0000_s1025" style="position:absolute;margin-left:56.25pt;margin-top:7.65pt;width:368.55pt;height:31.2pt;z-index:-251658240" coordorigin="2484,15844" coordsize="7371,624">
          <v:shapetype id="_x0000_t202" coordsize="21600,21600" o:spt="202" path="m,l,21600r21600,l21600,xe">
            <v:stroke joinstyle="miter"/>
            <v:path gradientshapeok="t" o:connecttype="rect"/>
          </v:shapetype>
          <v:shape id="_x0000_s1026" type="#_x0000_t202" style="position:absolute;left:2527;top:15947;width:7302;height:521" filled="f" stroked="f">
            <v:textbox style="mso-next-textbox:#_x0000_s1026" inset="0,0,0,0">
              <w:txbxContent>
                <w:p w:rsidR="009A2AE0" w:rsidRPr="00222940" w:rsidRDefault="00C33EB2" w:rsidP="00FB500E">
                  <w:pPr>
                    <w:jc w:val="center"/>
                    <w:rPr>
                      <w:sz w:val="20"/>
                    </w:rPr>
                  </w:pPr>
                  <w:r w:rsidRPr="001F6953">
                    <w:rPr>
                      <w:sz w:val="18"/>
                    </w:rPr>
                    <w:t>Ro-520008, Sfântu Gheorghe</w:t>
                  </w:r>
                  <w:r w:rsidRPr="001F6953">
                    <w:rPr>
                      <w:sz w:val="18"/>
                      <w:szCs w:val="18"/>
                    </w:rPr>
                    <w:t>, P</w:t>
                  </w:r>
                  <w:r w:rsidRPr="001F6953">
                    <w:rPr>
                      <w:sz w:val="18"/>
                    </w:rPr>
                    <w:t>iaţa Libertăţii nr. 4, judeţul Covasna</w:t>
                  </w:r>
                </w:p>
                <w:p w:rsidR="009A2AE0" w:rsidRPr="001F6953" w:rsidRDefault="00C33EB2" w:rsidP="00FB500E">
                  <w:pPr>
                    <w:jc w:val="center"/>
                    <w:rPr>
                      <w:sz w:val="18"/>
                    </w:rPr>
                  </w:pPr>
                  <w:r w:rsidRPr="001F6953">
                    <w:rPr>
                      <w:sz w:val="18"/>
                    </w:rPr>
                    <w:t xml:space="preserve">tel: + 40 267 311 190, fax: + 40 267 351 228, e-mail: </w:t>
                  </w:r>
                  <w:r>
                    <w:rPr>
                      <w:sz w:val="18"/>
                    </w:rPr>
                    <w:t>office</w:t>
                  </w:r>
                  <w:r w:rsidRPr="001F6953">
                    <w:rPr>
                      <w:sz w:val="18"/>
                    </w:rPr>
                    <w:t>@kvmt.ro</w:t>
                  </w:r>
                </w:p>
              </w:txbxContent>
            </v:textbox>
          </v:shape>
          <v:group id="_x0000_s1027" style="position:absolute;left:2484;top:15844;width:7371;height:567" coordorigin="2520,3612" coordsize="7371,567">
            <v:shapetype id="_x0000_t32" coordsize="21600,21600" o:spt="32" o:oned="t" path="m,l21600,21600e" filled="f">
              <v:path arrowok="t" fillok="f" o:connecttype="none"/>
              <o:lock v:ext="edit" shapetype="t"/>
            </v:shapetype>
            <v:shape id="_x0000_s1028" type="#_x0000_t32" style="position:absolute;left:2520;top:3612;width:1;height:567;flip:y" o:connectortype="straight" strokecolor="#969594" strokeweight="1pt"/>
            <v:shape id="_x0000_s1029" type="#_x0000_t32" style="position:absolute;left:2520;top:3612;width:7370;height:0" o:connectortype="straight" strokecolor="#969594" strokeweight="1pt"/>
            <v:shape id="_x0000_s1030" type="#_x0000_t32" style="position:absolute;left:9890;top:3612;width:1;height:567;flip:y" o:connectortype="straight" strokecolor="#969594" strokeweight="1pt"/>
          </v:group>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E0" w:rsidRDefault="00C33EB2" w:rsidP="00596F83">
    <w:pPr>
      <w:pStyle w:val="Footer"/>
      <w:tabs>
        <w:tab w:val="left" w:pos="1134"/>
      </w:tabs>
    </w:pPr>
    <w:r>
      <w:rPr>
        <w:noProof/>
        <w:lang w:val="en-US"/>
      </w:rPr>
      <w:pict>
        <v:group id="_x0000_s1031" style="position:absolute;margin-left:56.9pt;margin-top:7.9pt;width:368.55pt;height:31.2pt;z-index:-251658240" coordorigin="2484,15844" coordsize="7371,624">
          <v:shapetype id="_x0000_t202" coordsize="21600,21600" o:spt="202" path="m,l,21600r21600,l21600,xe">
            <v:stroke joinstyle="miter"/>
            <v:path gradientshapeok="t" o:connecttype="rect"/>
          </v:shapetype>
          <v:shape id="_x0000_s1032" type="#_x0000_t202" style="position:absolute;left:2527;top:15947;width:7302;height:521" filled="f" stroked="f">
            <v:textbox style="mso-next-textbox:#_x0000_s1032" inset="0,0,0,0">
              <w:txbxContent>
                <w:p w:rsidR="009A2AE0" w:rsidRPr="00222940" w:rsidRDefault="00C33EB2" w:rsidP="00FB500E">
                  <w:pPr>
                    <w:jc w:val="center"/>
                    <w:rPr>
                      <w:sz w:val="20"/>
                    </w:rPr>
                  </w:pPr>
                  <w:r w:rsidRPr="001F6953">
                    <w:rPr>
                      <w:sz w:val="18"/>
                    </w:rPr>
                    <w:t>Ro-520008, Sfântu Gheorghe</w:t>
                  </w:r>
                  <w:r w:rsidRPr="001F6953">
                    <w:rPr>
                      <w:sz w:val="18"/>
                      <w:szCs w:val="18"/>
                    </w:rPr>
                    <w:t xml:space="preserve">, </w:t>
                  </w:r>
                  <w:r w:rsidRPr="001F6953">
                    <w:rPr>
                      <w:sz w:val="18"/>
                      <w:szCs w:val="18"/>
                    </w:rPr>
                    <w:t>P</w:t>
                  </w:r>
                  <w:r w:rsidRPr="001F6953">
                    <w:rPr>
                      <w:sz w:val="18"/>
                    </w:rPr>
                    <w:t>iaţa Libertăţii nr. 4, judeţul Covasna</w:t>
                  </w:r>
                </w:p>
                <w:p w:rsidR="009A2AE0" w:rsidRPr="001F6953" w:rsidRDefault="00C33EB2" w:rsidP="00FB500E">
                  <w:pPr>
                    <w:jc w:val="center"/>
                    <w:rPr>
                      <w:sz w:val="18"/>
                    </w:rPr>
                  </w:pPr>
                  <w:r w:rsidRPr="001F6953">
                    <w:rPr>
                      <w:sz w:val="18"/>
                    </w:rPr>
                    <w:t xml:space="preserve">tel: + 40 267 311 190, fax: + 40 267 351 228, e-mail: </w:t>
                  </w:r>
                  <w:r>
                    <w:rPr>
                      <w:sz w:val="18"/>
                    </w:rPr>
                    <w:t>office</w:t>
                  </w:r>
                  <w:r w:rsidRPr="001F6953">
                    <w:rPr>
                      <w:sz w:val="18"/>
                    </w:rPr>
                    <w:t>@kvmt.ro</w:t>
                  </w:r>
                </w:p>
              </w:txbxContent>
            </v:textbox>
          </v:shape>
          <v:group id="_x0000_s1033" style="position:absolute;left:2484;top:15844;width:7371;height:567" coordorigin="2520,3612" coordsize="7371,567">
            <v:shapetype id="_x0000_t32" coordsize="21600,21600" o:spt="32" o:oned="t" path="m,l21600,21600e" filled="f">
              <v:path arrowok="t" fillok="f" o:connecttype="none"/>
              <o:lock v:ext="edit" shapetype="t"/>
            </v:shapetype>
            <v:shape id="_x0000_s1034" type="#_x0000_t32" style="position:absolute;left:2520;top:3612;width:1;height:567;flip:y" o:connectortype="straight" strokecolor="#969594" strokeweight="1pt"/>
            <v:shape id="_x0000_s1035" type="#_x0000_t32" style="position:absolute;left:2520;top:3612;width:7370;height:0" o:connectortype="straight" strokecolor="#969594" strokeweight="1pt"/>
            <v:shape id="_x0000_s1036" type="#_x0000_t32" style="position:absolute;left:9890;top:3612;width:1;height:567;flip:y" o:connectortype="straight" strokecolor="#969594" strokeweight="1pt"/>
          </v:group>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E0" w:rsidRPr="002C6088" w:rsidRDefault="00C33EB2" w:rsidP="002C6088">
    <w:pPr>
      <w:pStyle w:val="Header"/>
      <w:tabs>
        <w:tab w:val="left" w:pos="2410"/>
        <w:tab w:val="left" w:pos="2694"/>
      </w:tabs>
      <w:rPr>
        <w:sz w:val="2"/>
        <w:szCs w:val="2"/>
      </w:rPr>
    </w:pPr>
    <w:r w:rsidRPr="003044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2.35pt;margin-top:-.25pt;width:63.85pt;height:71.55pt;z-index:-251658240">
          <v:imagedata r:id="rId1" o:title=""/>
        </v:shape>
        <o:OLEObject Type="Embed" ProgID="CorelDRAW.Graphic.13" ShapeID="_x0000_s1045" DrawAspect="Content" ObjectID="_1663588241" r:id="rId2"/>
      </w:pict>
    </w:r>
    <w:r w:rsidRPr="003044B3">
      <w:rPr>
        <w:noProof/>
        <w:sz w:val="2"/>
        <w:szCs w:val="2"/>
        <w:lang w:eastAsia="zh-TW"/>
      </w:rPr>
      <w:pict>
        <v:rect id="_x0000_s1037" style="position:absolute;margin-left:71.8pt;margin-top:99.95pt;width:63.6pt;height:20.7pt;z-index:251658240;mso-width-percent:900;mso-position-horizontal-relative:page;mso-position-vertical-relative:page;mso-width-percent:900;mso-width-relative:left-margin-area" o:allowincell="f" filled="f" stroked="f">
          <v:textbox style="mso-next-textbox:#_x0000_s1037;mso-fit-shape-to-text:t" inset="0,,0">
            <w:txbxContent>
              <w:p w:rsidR="009A2AE0" w:rsidRPr="00247C22" w:rsidRDefault="00C33EB2" w:rsidP="00247C22">
                <w:pPr>
                  <w:rPr>
                    <w:rFonts w:ascii="Palatino Linotype" w:hAnsi="Palatino Linotype"/>
                    <w:sz w:val="20"/>
                    <w:szCs w:val="20"/>
                  </w:rPr>
                </w:pPr>
                <w:r w:rsidRPr="00247C22">
                  <w:rPr>
                    <w:rFonts w:ascii="Palatino Linotype" w:hAnsi="Palatino Linotype"/>
                    <w:sz w:val="20"/>
                    <w:szCs w:val="20"/>
                  </w:rPr>
                  <w:t xml:space="preserve">pag. </w:t>
                </w:r>
                <w:r w:rsidRPr="00247C22">
                  <w:rPr>
                    <w:rFonts w:ascii="Palatino Linotype" w:hAnsi="Palatino Linotype"/>
                    <w:sz w:val="20"/>
                    <w:szCs w:val="20"/>
                  </w:rPr>
                  <w:fldChar w:fldCharType="begin"/>
                </w:r>
                <w:r w:rsidRPr="00247C22">
                  <w:rPr>
                    <w:rFonts w:ascii="Palatino Linotype" w:hAnsi="Palatino Linotype"/>
                    <w:sz w:val="20"/>
                    <w:szCs w:val="20"/>
                  </w:rPr>
                  <w:instrText xml:space="preserve"> PAGE   \* MERGEFORMAT </w:instrText>
                </w:r>
                <w:r w:rsidRPr="00247C22">
                  <w:rPr>
                    <w:rFonts w:ascii="Palatino Linotype" w:hAnsi="Palatino Linotype"/>
                    <w:sz w:val="20"/>
                    <w:szCs w:val="20"/>
                  </w:rPr>
                  <w:fldChar w:fldCharType="separate"/>
                </w:r>
                <w:r>
                  <w:rPr>
                    <w:rFonts w:ascii="Palatino Linotype" w:hAnsi="Palatino Linotype"/>
                    <w:noProof/>
                    <w:sz w:val="20"/>
                    <w:szCs w:val="20"/>
                  </w:rPr>
                  <w:t>2</w:t>
                </w:r>
                <w:r w:rsidRPr="00247C22">
                  <w:rPr>
                    <w:rFonts w:ascii="Palatino Linotype" w:hAnsi="Palatino Linotype"/>
                    <w:sz w:val="20"/>
                    <w:szCs w:val="20"/>
                  </w:rPr>
                  <w:fldChar w:fldCharType="end"/>
                </w:r>
              </w:p>
            </w:txbxContent>
          </v:textbox>
          <w10:wrap anchorx="margin" anchory="margin"/>
        </v:rect>
      </w:pict>
    </w:r>
    <w:r>
      <w:rPr>
        <w:noProof/>
        <w:sz w:val="2"/>
        <w:szCs w:val="2"/>
        <w:lang w:val="en-US"/>
      </w:rPr>
      <w:pict>
        <v:shapetype id="_x0000_t32" coordsize="21600,21600" o:spt="32" o:oned="t" path="m,l21600,21600e" filled="f">
          <v:path arrowok="t" fillok="f" o:connecttype="none"/>
          <o:lock v:ext="edit" shapetype="t"/>
        </v:shapetype>
        <v:shape id="_x0000_s1042" type="#_x0000_t32" style="position:absolute;margin-left:.3pt;margin-top:61.25pt;width:34.2pt;height:.1pt;flip:y;z-index:251658240" o:connectortype="straight" strokecolor="#969594" strokeweight="1pt"/>
      </w:pict>
    </w:r>
    <w:r>
      <w:rPr>
        <w:noProof/>
        <w:sz w:val="2"/>
        <w:szCs w:val="2"/>
        <w:lang w:val="en-US"/>
      </w:rPr>
      <w:pict>
        <v:shape id="_x0000_s1043" type="#_x0000_t32" style="position:absolute;margin-left:76.55pt;margin-top:61.25pt;width:403.75pt;height:.1pt;z-index:251658240" o:connectortype="straight" strokecolor="#969594" strokeweight="1pt"/>
      </w:pict>
    </w:r>
    <w:r>
      <w:rPr>
        <w:noProof/>
        <w:sz w:val="2"/>
        <w:szCs w:val="2"/>
        <w:lang w:val="en-US"/>
      </w:rPr>
      <w:pict>
        <v:shapetype id="_x0000_t202" coordsize="21600,21600" o:spt="202" path="m,l,21600r21600,l21600,xe">
          <v:stroke joinstyle="miter"/>
          <v:path gradientshapeok="t" o:connecttype="rect"/>
        </v:shapetype>
        <v:shape id="_x0000_s1041" type="#_x0000_t202" style="position:absolute;margin-left:106.5pt;margin-top:3.15pt;width:217.55pt;height:52.55pt;z-index:-251658240;mso-height-percent:200;mso-height-percent:200;mso-width-relative:margin;mso-height-relative:margin" wrapcoords="-196 0 -196 21323 21600 21323 21600 0 -196 0" stroked="f">
          <v:textbox style="mso-next-textbox:#_x0000_s1041;mso-fit-shape-to-text:t">
            <w:txbxContent>
              <w:p w:rsidR="009A2AE0" w:rsidRPr="004302F2" w:rsidRDefault="00C33EB2" w:rsidP="003532DA">
                <w:pPr>
                  <w:spacing w:line="192" w:lineRule="auto"/>
                  <w:rPr>
                    <w:rFonts w:ascii="Palatino Linotype" w:hAnsi="Palatino Linotype"/>
                    <w:sz w:val="28"/>
                    <w:szCs w:val="28"/>
                  </w:rPr>
                </w:pPr>
                <w:r>
                  <w:rPr>
                    <w:rFonts w:ascii="Palatino Linotype" w:hAnsi="Palatino Linotype"/>
                    <w:sz w:val="28"/>
                    <w:szCs w:val="28"/>
                    <w:lang w:val="en-US"/>
                  </w:rPr>
                  <w:t>Consiliul Judeţean Covasna</w:t>
                </w:r>
              </w:p>
              <w:p w:rsidR="009A2AE0" w:rsidRDefault="00C33EB2" w:rsidP="003532DA">
                <w:pPr>
                  <w:spacing w:line="192" w:lineRule="auto"/>
                  <w:rPr>
                    <w:rFonts w:ascii="Palatino Linotype" w:hAnsi="Palatino Linotype"/>
                    <w:sz w:val="28"/>
                    <w:szCs w:val="28"/>
                    <w:lang w:val="hu-HU"/>
                  </w:rPr>
                </w:pPr>
                <w:r>
                  <w:rPr>
                    <w:rFonts w:ascii="Palatino Linotype" w:hAnsi="Palatino Linotype"/>
                    <w:sz w:val="28"/>
                    <w:szCs w:val="28"/>
                    <w:lang w:val="hu-HU"/>
                  </w:rPr>
                  <w:t>Kovászna Megye Tanácsa</w:t>
                </w:r>
              </w:p>
              <w:p w:rsidR="009A2AE0" w:rsidRDefault="00C33EB2" w:rsidP="003532DA">
                <w:pPr>
                  <w:spacing w:line="192" w:lineRule="auto"/>
                </w:pPr>
                <w:r>
                  <w:rPr>
                    <w:rFonts w:ascii="Palatino Linotype" w:hAnsi="Palatino Linotype"/>
                    <w:sz w:val="28"/>
                    <w:szCs w:val="28"/>
                    <w:lang w:val="hu-HU"/>
                  </w:rPr>
                  <w:t>Covasna County Council</w:t>
                </w:r>
              </w:p>
            </w:txbxContent>
          </v:textbox>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E0" w:rsidRDefault="00C33EB2">
    <w:pPr>
      <w:pStyle w:val="Header"/>
    </w:pPr>
    <w:r w:rsidRPr="003044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2.95pt;margin-top:-.25pt;width:63.85pt;height:71.55pt;z-index:-251658240">
          <v:imagedata r:id="rId1" o:title=""/>
        </v:shape>
        <o:OLEObject Type="Embed" ProgID="CorelDRAW.Graphic.13" ShapeID="_x0000_s1044" DrawAspect="Content" ObjectID="_1663588242" r:id="rId2"/>
      </w:pict>
    </w:r>
    <w:r>
      <w:rPr>
        <w:noProof/>
        <w:lang w:val="en-US"/>
      </w:rPr>
      <w:pict>
        <v:shapetype id="_x0000_t32" coordsize="21600,21600" o:spt="32" o:oned="t" path="m,l21600,21600e" filled="f">
          <v:path arrowok="t" fillok="f" o:connecttype="none"/>
          <o:lock v:ext="edit" shapetype="t"/>
        </v:shapetype>
        <v:shape id="_x0000_s1040" type="#_x0000_t32" style="position:absolute;margin-left:77.15pt;margin-top:62.45pt;width:403.75pt;height:.1pt;z-index:251658240" o:connectortype="straight" strokecolor="#969594" strokeweight="1pt"/>
      </w:pict>
    </w:r>
    <w:r>
      <w:rPr>
        <w:noProof/>
        <w:lang w:val="en-US"/>
      </w:rPr>
      <w:pict>
        <v:shape id="_x0000_s1039" type="#_x0000_t32" style="position:absolute;margin-left:.9pt;margin-top:62.45pt;width:34.2pt;height:.1pt;flip:y;z-index:251658240" o:connectortype="straight" strokecolor="#969594" strokeweight="1pt"/>
      </w:pict>
    </w:r>
    <w:r>
      <w:rPr>
        <w:noProof/>
        <w:lang w:val="en-US"/>
      </w:rPr>
      <w:pict>
        <v:shapetype id="_x0000_t202" coordsize="21600,21600" o:spt="202" path="m,l,21600r21600,l21600,xe">
          <v:stroke joinstyle="miter"/>
          <v:path gradientshapeok="t" o:connecttype="rect"/>
        </v:shapetype>
        <v:shape id="_x0000_s1038" type="#_x0000_t202" style="position:absolute;margin-left:107.1pt;margin-top:4.35pt;width:217.55pt;height:52.55pt;z-index:-251658240;mso-height-percent:200;mso-height-percent:200;mso-width-relative:margin;mso-height-relative:margin" wrapcoords="-196 0 -196 21323 21600 21323 21600 0 -196 0" stroked="f">
          <v:textbox style="mso-next-textbox:#_x0000_s1038;mso-fit-shape-to-text:t">
            <w:txbxContent>
              <w:p w:rsidR="009A2AE0" w:rsidRPr="004302F2" w:rsidRDefault="00C33EB2" w:rsidP="003532DA">
                <w:pPr>
                  <w:spacing w:line="192" w:lineRule="auto"/>
                  <w:rPr>
                    <w:rFonts w:ascii="Palatino Linotype" w:hAnsi="Palatino Linotype"/>
                    <w:sz w:val="28"/>
                    <w:szCs w:val="28"/>
                  </w:rPr>
                </w:pPr>
                <w:r>
                  <w:rPr>
                    <w:rFonts w:ascii="Palatino Linotype" w:hAnsi="Palatino Linotype"/>
                    <w:sz w:val="28"/>
                    <w:szCs w:val="28"/>
                    <w:lang w:val="en-US"/>
                  </w:rPr>
                  <w:t>Consiliul Judeţean Covasna</w:t>
                </w:r>
              </w:p>
              <w:p w:rsidR="009A2AE0" w:rsidRDefault="00C33EB2" w:rsidP="003532DA">
                <w:pPr>
                  <w:spacing w:line="192" w:lineRule="auto"/>
                  <w:rPr>
                    <w:rFonts w:ascii="Palatino Linotype" w:hAnsi="Palatino Linotype"/>
                    <w:sz w:val="28"/>
                    <w:szCs w:val="28"/>
                    <w:lang w:val="hu-HU"/>
                  </w:rPr>
                </w:pPr>
                <w:r>
                  <w:rPr>
                    <w:rFonts w:ascii="Palatino Linotype" w:hAnsi="Palatino Linotype"/>
                    <w:sz w:val="28"/>
                    <w:szCs w:val="28"/>
                    <w:lang w:val="hu-HU"/>
                  </w:rPr>
                  <w:t>Kovászna Megye Tanácsa</w:t>
                </w:r>
              </w:p>
              <w:p w:rsidR="009A2AE0" w:rsidRDefault="00C33EB2" w:rsidP="003532DA">
                <w:pPr>
                  <w:spacing w:line="192" w:lineRule="auto"/>
                </w:pPr>
                <w:r>
                  <w:rPr>
                    <w:rFonts w:ascii="Palatino Linotype" w:hAnsi="Palatino Linotype"/>
                    <w:sz w:val="28"/>
                    <w:szCs w:val="28"/>
                    <w:lang w:val="hu-HU"/>
                  </w:rPr>
                  <w:t>Covasna County Council</w:t>
                </w:r>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7A64"/>
    <w:multiLevelType w:val="hybridMultilevel"/>
    <w:tmpl w:val="495CA0DA"/>
    <w:lvl w:ilvl="0" w:tplc="379A7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64C42"/>
    <w:multiLevelType w:val="multilevel"/>
    <w:tmpl w:val="9FE47866"/>
    <w:lvl w:ilvl="0">
      <w:start w:val="1"/>
      <w:numFmt w:val="bullet"/>
      <w:lvlText w:val="•"/>
      <w:lvlJc w:val="left"/>
      <w:rPr>
        <w:rFonts w:ascii="Book Antiqua" w:eastAsia="Book Antiqua" w:hAnsi="Book Antiqua" w:cs="Book Antiqua"/>
        <w:b w:val="0"/>
        <w:bCs w:val="0"/>
        <w:i w:val="0"/>
        <w:iCs w:val="0"/>
        <w:smallCaps w:val="0"/>
        <w:strike w:val="0"/>
        <w:color w:val="000000"/>
        <w:spacing w:val="2"/>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50"/>
    <o:shapelayout v:ext="edit">
      <o:idmap v:ext="edit" data="1"/>
      <o:rules v:ext="edit">
        <o:r id="V:Rule1" type="connector" idref="#_x0000_s1036"/>
        <o:r id="V:Rule2" type="connector" idref="#_x0000_s1029"/>
        <o:r id="V:Rule3" type="connector" idref="#_x0000_s1040"/>
        <o:r id="V:Rule4" type="connector" idref="#_x0000_s1028"/>
        <o:r id="V:Rule5" type="connector" idref="#_x0000_s1039"/>
        <o:r id="V:Rule6" type="connector" idref="#_x0000_s1034"/>
        <o:r id="V:Rule7" type="connector" idref="#_x0000_s1035"/>
        <o:r id="V:Rule8" type="connector" idref="#_x0000_s1042"/>
        <o:r id="V:Rule9" type="connector" idref="#_x0000_s1030"/>
        <o:r id="V:Rule10" type="connector" idref="#_x0000_s1043"/>
      </o:rules>
    </o:shapelayout>
  </w:hdrShapeDefaults>
  <w:compat/>
  <w:rsids>
    <w:rsidRoot w:val="00C33EB2"/>
    <w:rsid w:val="00173332"/>
    <w:rsid w:val="00C3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B2"/>
    <w:pPr>
      <w:spacing w:after="0" w:line="240" w:lineRule="auto"/>
    </w:pPr>
    <w:rPr>
      <w:rFonts w:ascii="Times New Roman" w:eastAsia="Calibri"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B2"/>
    <w:pPr>
      <w:ind w:left="720"/>
    </w:pPr>
  </w:style>
  <w:style w:type="paragraph" w:styleId="Header">
    <w:name w:val="header"/>
    <w:basedOn w:val="Normal"/>
    <w:link w:val="HeaderChar"/>
    <w:uiPriority w:val="99"/>
    <w:unhideWhenUsed/>
    <w:rsid w:val="00C33EB2"/>
    <w:pPr>
      <w:tabs>
        <w:tab w:val="center" w:pos="4680"/>
        <w:tab w:val="right" w:pos="9360"/>
      </w:tabs>
    </w:pPr>
  </w:style>
  <w:style w:type="character" w:customStyle="1" w:styleId="HeaderChar">
    <w:name w:val="Header Char"/>
    <w:basedOn w:val="DefaultParagraphFont"/>
    <w:link w:val="Header"/>
    <w:uiPriority w:val="99"/>
    <w:rsid w:val="00C33EB2"/>
    <w:rPr>
      <w:rFonts w:ascii="Times New Roman" w:eastAsia="Calibri" w:hAnsi="Times New Roman" w:cs="Times New Roman"/>
      <w:sz w:val="24"/>
      <w:lang w:val="ro-RO"/>
    </w:rPr>
  </w:style>
  <w:style w:type="paragraph" w:styleId="Footer">
    <w:name w:val="footer"/>
    <w:basedOn w:val="Normal"/>
    <w:link w:val="FooterChar"/>
    <w:uiPriority w:val="99"/>
    <w:unhideWhenUsed/>
    <w:rsid w:val="00C33EB2"/>
    <w:pPr>
      <w:tabs>
        <w:tab w:val="center" w:pos="4680"/>
        <w:tab w:val="right" w:pos="9360"/>
      </w:tabs>
    </w:pPr>
  </w:style>
  <w:style w:type="character" w:customStyle="1" w:styleId="FooterChar">
    <w:name w:val="Footer Char"/>
    <w:basedOn w:val="DefaultParagraphFont"/>
    <w:link w:val="Footer"/>
    <w:uiPriority w:val="99"/>
    <w:rsid w:val="00C33EB2"/>
    <w:rPr>
      <w:rFonts w:ascii="Times New Roman" w:eastAsia="Calibri" w:hAnsi="Times New Roman" w:cs="Times New Roman"/>
      <w:sz w:val="24"/>
      <w:lang w:val="ro-RO"/>
    </w:rPr>
  </w:style>
  <w:style w:type="character" w:customStyle="1" w:styleId="Bodytext">
    <w:name w:val="Body text_"/>
    <w:basedOn w:val="DefaultParagraphFont"/>
    <w:link w:val="BodyText1"/>
    <w:rsid w:val="00C33EB2"/>
    <w:rPr>
      <w:rFonts w:ascii="Book Antiqua" w:eastAsia="Book Antiqua" w:hAnsi="Book Antiqua" w:cs="Book Antiqua"/>
      <w:i/>
      <w:iCs/>
      <w:spacing w:val="1"/>
      <w:sz w:val="21"/>
      <w:szCs w:val="21"/>
      <w:shd w:val="clear" w:color="auto" w:fill="FFFFFF"/>
    </w:rPr>
  </w:style>
  <w:style w:type="character" w:customStyle="1" w:styleId="BodytextBoldNotItalicSpacing0pt">
    <w:name w:val="Body text + Bold;Not Italic;Spacing 0 pt"/>
    <w:basedOn w:val="Bodytext"/>
    <w:rsid w:val="00C33EB2"/>
    <w:rPr>
      <w:b/>
      <w:bCs/>
      <w:color w:val="000000"/>
      <w:spacing w:val="0"/>
      <w:w w:val="100"/>
      <w:position w:val="0"/>
      <w:lang w:val="ro-RO" w:eastAsia="ro-RO" w:bidi="ro-RO"/>
    </w:rPr>
  </w:style>
  <w:style w:type="paragraph" w:customStyle="1" w:styleId="BodyText1">
    <w:name w:val="Body Text1"/>
    <w:basedOn w:val="Normal"/>
    <w:link w:val="Bodytext"/>
    <w:rsid w:val="00C33EB2"/>
    <w:pPr>
      <w:widowControl w:val="0"/>
      <w:shd w:val="clear" w:color="auto" w:fill="FFFFFF"/>
      <w:spacing w:line="370" w:lineRule="exact"/>
      <w:jc w:val="both"/>
    </w:pPr>
    <w:rPr>
      <w:rFonts w:ascii="Book Antiqua" w:eastAsia="Book Antiqua" w:hAnsi="Book Antiqua" w:cs="Book Antiqua"/>
      <w:i/>
      <w:iCs/>
      <w:spacing w:val="1"/>
      <w:sz w:val="21"/>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aczelcecilia</dc:creator>
  <cp:lastModifiedBy>aczelcecilia</cp:lastModifiedBy>
  <cp:revision>1</cp:revision>
  <dcterms:created xsi:type="dcterms:W3CDTF">2020-10-07T12:04:00Z</dcterms:created>
  <dcterms:modified xsi:type="dcterms:W3CDTF">2020-10-07T12:04:00Z</dcterms:modified>
</cp:coreProperties>
</file>